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附件2</w:t>
      </w:r>
      <w:bookmarkStart w:id="0" w:name="_GoBack"/>
      <w:bookmarkEnd w:id="0"/>
    </w:p>
    <w:p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自评自建问题清单及整改措施</w:t>
      </w:r>
    </w:p>
    <w:p>
      <w:pPr>
        <w:jc w:val="left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部门（单位):                            填表日期：    年  月  日</w:t>
      </w:r>
    </w:p>
    <w:tbl>
      <w:tblPr>
        <w:tblStyle w:val="3"/>
        <w:tblW w:w="97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6"/>
        <w:gridCol w:w="1843"/>
        <w:gridCol w:w="2885"/>
        <w:gridCol w:w="37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  <w:tblHeader/>
          <w:jc w:val="center"/>
        </w:trPr>
        <w:tc>
          <w:tcPr>
            <w:tcW w:w="125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  <w:t>一级指标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  <w:t>二级指标</w:t>
            </w:r>
          </w:p>
        </w:tc>
        <w:tc>
          <w:tcPr>
            <w:tcW w:w="288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8"/>
              </w:rPr>
              <w:t>问题</w:t>
            </w: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8"/>
                <w:lang w:val="en-US" w:eastAsia="zh-CN"/>
              </w:rPr>
              <w:t>表述</w:t>
            </w:r>
          </w:p>
        </w:tc>
        <w:tc>
          <w:tcPr>
            <w:tcW w:w="3748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lang w:val="en-US" w:eastAsia="zh-CN"/>
              </w:rPr>
              <w:t>整改措施及进度安排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（最晚至2024年12月31日）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b/>
                <w:bCs/>
                <w:kern w:val="0"/>
                <w:sz w:val="24"/>
              </w:rPr>
            </w:pPr>
            <w:r>
              <w:rPr>
                <w:rFonts w:ascii="宋体" w:hAnsi="宋体" w:eastAsia="宋体"/>
                <w:kern w:val="0"/>
                <w:sz w:val="24"/>
              </w:rPr>
              <w:t>1.办学方向与本科地位</w:t>
            </w:r>
          </w:p>
        </w:tc>
        <w:tc>
          <w:tcPr>
            <w:tcW w:w="1843" w:type="dxa"/>
            <w:vMerge w:val="restart"/>
            <w:noWrap w:val="0"/>
            <w:vAlign w:val="center"/>
          </w:tcPr>
          <w:p>
            <w:pPr>
              <w:widowControl/>
              <w:snapToGrid w:val="0"/>
              <w:spacing w:after="120" w:line="480" w:lineRule="auto"/>
              <w:jc w:val="center"/>
              <w:rPr>
                <w:rFonts w:ascii="宋体" w:hAnsi="宋体" w:eastAsia="宋体"/>
                <w:b/>
                <w:bCs/>
                <w:kern w:val="0"/>
                <w:sz w:val="24"/>
              </w:rPr>
            </w:pPr>
            <w:r>
              <w:rPr>
                <w:rFonts w:ascii="宋体" w:hAnsi="宋体" w:eastAsia="宋体"/>
                <w:kern w:val="0"/>
                <w:sz w:val="24"/>
              </w:rPr>
              <w:t>1.1党的领导</w:t>
            </w: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2.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……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b/>
                <w:bCs/>
                <w:kern w:val="0"/>
                <w:sz w:val="24"/>
              </w:rPr>
            </w:pPr>
          </w:p>
        </w:tc>
        <w:tc>
          <w:tcPr>
            <w:tcW w:w="1843" w:type="dxa"/>
            <w:vMerge w:val="restart"/>
            <w:noWrap w:val="0"/>
            <w:vAlign w:val="center"/>
          </w:tcPr>
          <w:p>
            <w:pPr>
              <w:widowControl/>
              <w:snapToGrid w:val="0"/>
              <w:spacing w:after="120" w:line="480" w:lineRule="auto"/>
              <w:jc w:val="center"/>
              <w:rPr>
                <w:rFonts w:ascii="宋体" w:hAnsi="宋体" w:eastAsia="宋体"/>
                <w:b/>
                <w:bCs/>
                <w:kern w:val="0"/>
                <w:sz w:val="24"/>
              </w:rPr>
            </w:pPr>
            <w:r>
              <w:rPr>
                <w:rFonts w:ascii="宋体" w:hAnsi="宋体" w:eastAsia="宋体"/>
                <w:kern w:val="0"/>
                <w:sz w:val="24"/>
              </w:rPr>
              <w:t>1.2</w:t>
            </w:r>
            <w:r>
              <w:rPr>
                <w:rFonts w:hint="eastAsia" w:ascii="宋体" w:hAnsi="宋体" w:eastAsia="宋体"/>
                <w:kern w:val="0"/>
                <w:sz w:val="24"/>
              </w:rPr>
              <w:t>思政教育</w:t>
            </w: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b/>
                <w:bCs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2.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b/>
                <w:bCs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……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b/>
                <w:bCs/>
                <w:kern w:val="0"/>
                <w:sz w:val="24"/>
              </w:rPr>
            </w:pPr>
          </w:p>
        </w:tc>
        <w:tc>
          <w:tcPr>
            <w:tcW w:w="1843" w:type="dxa"/>
            <w:vMerge w:val="restart"/>
            <w:noWrap w:val="0"/>
            <w:vAlign w:val="center"/>
          </w:tcPr>
          <w:p>
            <w:pPr>
              <w:widowControl/>
              <w:snapToGrid w:val="0"/>
              <w:spacing w:after="120" w:line="480" w:lineRule="auto"/>
              <w:jc w:val="center"/>
              <w:rPr>
                <w:rFonts w:ascii="宋体" w:hAnsi="宋体" w:eastAsia="宋体"/>
                <w:b/>
                <w:bCs/>
                <w:kern w:val="0"/>
                <w:sz w:val="24"/>
              </w:rPr>
            </w:pPr>
            <w:r>
              <w:rPr>
                <w:rFonts w:ascii="宋体" w:hAnsi="宋体" w:eastAsia="宋体"/>
                <w:kern w:val="0"/>
                <w:sz w:val="24"/>
              </w:rPr>
              <w:t>1.3本科地位</w:t>
            </w: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b/>
                <w:bCs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b/>
                <w:bCs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……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ascii="宋体" w:hAnsi="宋体" w:eastAsia="宋体"/>
                <w:kern w:val="0"/>
                <w:sz w:val="24"/>
              </w:rPr>
              <w:t>2.培养过程</w:t>
            </w:r>
          </w:p>
        </w:tc>
        <w:tc>
          <w:tcPr>
            <w:tcW w:w="1843" w:type="dxa"/>
            <w:vMerge w:val="restart"/>
            <w:noWrap w:val="0"/>
            <w:vAlign w:val="center"/>
          </w:tcPr>
          <w:p>
            <w:pPr>
              <w:widowControl/>
              <w:snapToGrid w:val="0"/>
              <w:spacing w:after="120" w:line="480" w:lineRule="auto"/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ascii="宋体" w:hAnsi="宋体" w:eastAsia="宋体"/>
                <w:kern w:val="0"/>
                <w:sz w:val="24"/>
              </w:rPr>
              <w:t>2.1培养方案</w:t>
            </w: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2.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……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restart"/>
            <w:noWrap w:val="0"/>
            <w:vAlign w:val="center"/>
          </w:tcPr>
          <w:p>
            <w:pPr>
              <w:snapToGrid w:val="0"/>
              <w:spacing w:after="120" w:line="480" w:lineRule="auto"/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ascii="宋体" w:hAnsi="宋体" w:eastAsia="宋体"/>
                <w:kern w:val="0"/>
                <w:sz w:val="24"/>
              </w:rPr>
              <w:t>2.2专业建设</w:t>
            </w: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2.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……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top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restart"/>
            <w:noWrap w:val="0"/>
            <w:vAlign w:val="center"/>
          </w:tcPr>
          <w:p>
            <w:pPr>
              <w:widowControl/>
              <w:snapToGrid w:val="0"/>
              <w:spacing w:after="120" w:line="480" w:lineRule="auto"/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ascii="宋体" w:hAnsi="宋体" w:eastAsia="宋体"/>
                <w:kern w:val="0"/>
                <w:sz w:val="24"/>
              </w:rPr>
              <w:t>2.3实践教学</w:t>
            </w: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top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2.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top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……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top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restart"/>
            <w:noWrap w:val="0"/>
            <w:vAlign w:val="center"/>
          </w:tcPr>
          <w:p>
            <w:pPr>
              <w:widowControl/>
              <w:snapToGrid w:val="0"/>
              <w:spacing w:after="120" w:line="480" w:lineRule="auto"/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ascii="宋体" w:hAnsi="宋体" w:eastAsia="宋体"/>
                <w:kern w:val="0"/>
                <w:sz w:val="24"/>
              </w:rPr>
              <w:t>2.4课堂教学</w:t>
            </w: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top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2.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top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……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top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restart"/>
            <w:noWrap w:val="0"/>
            <w:vAlign w:val="center"/>
          </w:tcPr>
          <w:p>
            <w:pPr>
              <w:widowControl/>
              <w:snapToGrid w:val="0"/>
              <w:spacing w:after="120" w:line="480" w:lineRule="auto"/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ascii="宋体" w:hAnsi="宋体" w:eastAsia="宋体"/>
                <w:kern w:val="0"/>
                <w:sz w:val="24"/>
              </w:rPr>
              <w:t>K2.5卓越培养</w:t>
            </w: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top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2.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top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……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top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restart"/>
            <w:noWrap w:val="0"/>
            <w:vAlign w:val="center"/>
          </w:tcPr>
          <w:p>
            <w:pPr>
              <w:widowControl/>
              <w:snapToGrid w:val="0"/>
              <w:spacing w:after="120" w:line="480" w:lineRule="auto"/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ascii="宋体" w:hAnsi="宋体" w:eastAsia="宋体"/>
                <w:kern w:val="0"/>
                <w:sz w:val="24"/>
              </w:rPr>
              <w:t xml:space="preserve">2.6 创新创业 </w:t>
            </w:r>
            <w:r>
              <w:rPr>
                <w:rFonts w:hint="eastAsia" w:ascii="宋体" w:hAnsi="宋体" w:eastAsia="宋体"/>
                <w:kern w:val="0"/>
                <w:sz w:val="24"/>
              </w:rPr>
              <w:t>教育</w:t>
            </w: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top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2.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top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……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633" w:type="dxa"/>
          <w:trHeight w:val="793" w:hRule="atLeast"/>
          <w:jc w:val="center"/>
        </w:trPr>
        <w:tc>
          <w:tcPr>
            <w:tcW w:w="1256" w:type="dxa"/>
            <w:vMerge w:val="restar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ascii="宋体" w:hAnsi="宋体" w:eastAsia="宋体"/>
                <w:kern w:val="0"/>
                <w:sz w:val="24"/>
              </w:rPr>
              <w:t>3.教学资源与利用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snapToGrid w:val="0"/>
              <w:spacing w:after="120" w:line="240" w:lineRule="auto"/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ascii="宋体" w:hAnsi="宋体" w:eastAsia="宋体"/>
                <w:kern w:val="0"/>
                <w:sz w:val="24"/>
              </w:rPr>
              <w:t>X3.1设施条件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top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restart"/>
            <w:noWrap w:val="0"/>
            <w:vAlign w:val="center"/>
          </w:tcPr>
          <w:p>
            <w:pPr>
              <w:widowControl/>
              <w:snapToGrid w:val="0"/>
              <w:spacing w:after="120" w:line="480" w:lineRule="auto"/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ascii="宋体" w:hAnsi="宋体" w:eastAsia="宋体"/>
                <w:kern w:val="0"/>
                <w:sz w:val="24"/>
              </w:rPr>
              <w:t>3.2资源建设</w:t>
            </w: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top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2.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top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……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restar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ascii="宋体" w:hAnsi="宋体" w:eastAsia="宋体"/>
                <w:kern w:val="0"/>
                <w:sz w:val="24"/>
              </w:rPr>
              <w:t>4.教师队伍</w:t>
            </w:r>
          </w:p>
        </w:tc>
        <w:tc>
          <w:tcPr>
            <w:tcW w:w="1843" w:type="dxa"/>
            <w:vMerge w:val="restart"/>
            <w:noWrap w:val="0"/>
            <w:vAlign w:val="center"/>
          </w:tcPr>
          <w:p>
            <w:pPr>
              <w:widowControl/>
              <w:snapToGrid w:val="0"/>
              <w:spacing w:after="120" w:line="480" w:lineRule="auto"/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ascii="宋体" w:hAnsi="宋体" w:eastAsia="宋体"/>
                <w:kern w:val="0"/>
                <w:sz w:val="24"/>
              </w:rPr>
              <w:t>4.1师德师风</w:t>
            </w: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2．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……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restart"/>
            <w:noWrap w:val="0"/>
            <w:vAlign w:val="center"/>
          </w:tcPr>
          <w:p>
            <w:pPr>
              <w:widowControl/>
              <w:snapToGrid w:val="0"/>
              <w:spacing w:after="120" w:line="480" w:lineRule="auto"/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ascii="宋体" w:hAnsi="宋体" w:eastAsia="宋体"/>
                <w:kern w:val="0"/>
                <w:sz w:val="24"/>
              </w:rPr>
              <w:t>4.2教学能力</w:t>
            </w: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2.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……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restart"/>
            <w:noWrap w:val="0"/>
            <w:vAlign w:val="center"/>
          </w:tcPr>
          <w:p>
            <w:pPr>
              <w:widowControl/>
              <w:snapToGrid w:val="0"/>
              <w:spacing w:after="120" w:line="480" w:lineRule="auto"/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ascii="宋体" w:hAnsi="宋体" w:eastAsia="宋体"/>
                <w:kern w:val="0"/>
                <w:sz w:val="24"/>
              </w:rPr>
              <w:t>4.3教学投入</w:t>
            </w: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2.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……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restart"/>
            <w:noWrap w:val="0"/>
            <w:vAlign w:val="center"/>
          </w:tcPr>
          <w:p>
            <w:pPr>
              <w:widowControl/>
              <w:snapToGrid w:val="0"/>
              <w:spacing w:after="120" w:line="480" w:lineRule="auto"/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ascii="宋体" w:hAnsi="宋体" w:eastAsia="宋体"/>
                <w:kern w:val="0"/>
                <w:sz w:val="24"/>
              </w:rPr>
              <w:t>4.4教师发展</w:t>
            </w: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2.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……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restar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ascii="宋体" w:hAnsi="宋体" w:eastAsia="宋体"/>
                <w:kern w:val="0"/>
                <w:sz w:val="24"/>
              </w:rPr>
              <w:t>5.学生发展</w:t>
            </w:r>
          </w:p>
        </w:tc>
        <w:tc>
          <w:tcPr>
            <w:tcW w:w="1843" w:type="dxa"/>
            <w:vMerge w:val="restart"/>
            <w:noWrap w:val="0"/>
            <w:vAlign w:val="center"/>
          </w:tcPr>
          <w:p>
            <w:pPr>
              <w:snapToGrid w:val="0"/>
              <w:spacing w:after="120" w:line="480" w:lineRule="auto"/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ascii="宋体" w:hAnsi="宋体" w:eastAsia="宋体"/>
                <w:kern w:val="0"/>
                <w:sz w:val="24"/>
              </w:rPr>
              <w:t>5.1理想信念</w:t>
            </w: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2.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……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restart"/>
            <w:noWrap w:val="0"/>
            <w:vAlign w:val="center"/>
          </w:tcPr>
          <w:p>
            <w:pPr>
              <w:widowControl/>
              <w:snapToGrid w:val="0"/>
              <w:spacing w:after="120" w:line="480" w:lineRule="auto"/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ascii="宋体" w:hAnsi="宋体" w:eastAsia="宋体"/>
                <w:kern w:val="0"/>
                <w:sz w:val="24"/>
              </w:rPr>
              <w:t>5.2学业成绩及综合素质</w:t>
            </w:r>
          </w:p>
        </w:tc>
        <w:tc>
          <w:tcPr>
            <w:tcW w:w="2885" w:type="dxa"/>
            <w:noWrap w:val="0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1.</w:t>
            </w:r>
          </w:p>
        </w:tc>
        <w:tc>
          <w:tcPr>
            <w:tcW w:w="3748" w:type="dxa"/>
            <w:noWrap w:val="0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2.</w:t>
            </w:r>
          </w:p>
        </w:tc>
        <w:tc>
          <w:tcPr>
            <w:tcW w:w="3748" w:type="dxa"/>
            <w:noWrap w:val="0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……</w:t>
            </w:r>
          </w:p>
        </w:tc>
        <w:tc>
          <w:tcPr>
            <w:tcW w:w="3748" w:type="dxa"/>
            <w:noWrap w:val="0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restart"/>
            <w:noWrap w:val="0"/>
            <w:vAlign w:val="center"/>
          </w:tcPr>
          <w:p>
            <w:pPr>
              <w:widowControl/>
              <w:snapToGrid w:val="0"/>
              <w:spacing w:after="120" w:line="480" w:lineRule="auto"/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ascii="宋体" w:hAnsi="宋体" w:eastAsia="宋体"/>
                <w:kern w:val="0"/>
                <w:sz w:val="24"/>
              </w:rPr>
              <w:t>K5.3国际视野</w:t>
            </w: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2.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……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restart"/>
            <w:noWrap w:val="0"/>
            <w:vAlign w:val="center"/>
          </w:tcPr>
          <w:p>
            <w:pPr>
              <w:widowControl/>
              <w:snapToGrid w:val="0"/>
              <w:spacing w:after="120" w:line="480" w:lineRule="auto"/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ascii="宋体" w:hAnsi="宋体" w:eastAsia="宋体"/>
                <w:kern w:val="0"/>
                <w:sz w:val="24"/>
              </w:rPr>
              <w:t>5.4支持服务</w:t>
            </w: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2.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……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restar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ascii="宋体" w:hAnsi="宋体" w:eastAsia="宋体"/>
                <w:kern w:val="0"/>
                <w:sz w:val="24"/>
              </w:rPr>
              <w:t>6.质量保障</w:t>
            </w:r>
          </w:p>
        </w:tc>
        <w:tc>
          <w:tcPr>
            <w:tcW w:w="1843" w:type="dxa"/>
            <w:vMerge w:val="restart"/>
            <w:noWrap w:val="0"/>
            <w:vAlign w:val="center"/>
          </w:tcPr>
          <w:p>
            <w:pPr>
              <w:snapToGrid w:val="0"/>
              <w:spacing w:after="120" w:line="480" w:lineRule="auto"/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ascii="宋体" w:hAnsi="宋体" w:eastAsia="宋体"/>
                <w:kern w:val="0"/>
                <w:sz w:val="24"/>
              </w:rPr>
              <w:t>6.1质量管理</w:t>
            </w: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2.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……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restart"/>
            <w:noWrap w:val="0"/>
            <w:vAlign w:val="center"/>
          </w:tcPr>
          <w:p>
            <w:pPr>
              <w:widowControl/>
              <w:snapToGrid w:val="0"/>
              <w:spacing w:after="120" w:line="480" w:lineRule="auto"/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ascii="宋体" w:hAnsi="宋体" w:eastAsia="宋体"/>
                <w:kern w:val="0"/>
                <w:sz w:val="24"/>
              </w:rPr>
              <w:t>6.2质量改进</w:t>
            </w: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2.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……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restart"/>
            <w:noWrap w:val="0"/>
            <w:vAlign w:val="center"/>
          </w:tcPr>
          <w:p>
            <w:pPr>
              <w:widowControl/>
              <w:snapToGrid w:val="0"/>
              <w:spacing w:after="120" w:line="480" w:lineRule="auto"/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ascii="宋体" w:hAnsi="宋体" w:eastAsia="宋体"/>
                <w:kern w:val="0"/>
                <w:sz w:val="24"/>
              </w:rPr>
              <w:t>6.3质量文化</w:t>
            </w: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2.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……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restar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ascii="宋体" w:hAnsi="宋体" w:eastAsia="宋体"/>
                <w:kern w:val="0"/>
                <w:sz w:val="24"/>
              </w:rPr>
              <w:t>7.教学成效</w:t>
            </w:r>
          </w:p>
        </w:tc>
        <w:tc>
          <w:tcPr>
            <w:tcW w:w="1843" w:type="dxa"/>
            <w:vMerge w:val="restart"/>
            <w:noWrap w:val="0"/>
            <w:vAlign w:val="center"/>
          </w:tcPr>
          <w:p>
            <w:pPr>
              <w:widowControl/>
              <w:snapToGrid w:val="0"/>
              <w:spacing w:after="120" w:line="480" w:lineRule="auto"/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ascii="宋体" w:hAnsi="宋体" w:eastAsia="宋体"/>
                <w:kern w:val="0"/>
                <w:sz w:val="24"/>
              </w:rPr>
              <w:t>7.1达成度</w:t>
            </w: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2.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……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restart"/>
            <w:noWrap w:val="0"/>
            <w:vAlign w:val="center"/>
          </w:tcPr>
          <w:p>
            <w:pPr>
              <w:widowControl/>
              <w:snapToGrid w:val="0"/>
              <w:spacing w:after="120" w:line="480" w:lineRule="auto"/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ascii="宋体" w:hAnsi="宋体" w:eastAsia="宋体"/>
                <w:kern w:val="0"/>
                <w:sz w:val="24"/>
              </w:rPr>
              <w:t>7.2适应度</w:t>
            </w: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2.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……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restart"/>
            <w:noWrap w:val="0"/>
            <w:vAlign w:val="center"/>
          </w:tcPr>
          <w:p>
            <w:pPr>
              <w:widowControl/>
              <w:snapToGrid w:val="0"/>
              <w:spacing w:after="120" w:line="480" w:lineRule="auto"/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ascii="宋体" w:hAnsi="宋体" w:eastAsia="宋体"/>
                <w:kern w:val="0"/>
                <w:sz w:val="24"/>
              </w:rPr>
              <w:t>7.3保障度</w:t>
            </w: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2.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……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restart"/>
            <w:noWrap w:val="0"/>
            <w:vAlign w:val="center"/>
          </w:tcPr>
          <w:p>
            <w:pPr>
              <w:widowControl/>
              <w:snapToGrid w:val="0"/>
              <w:spacing w:after="120" w:line="480" w:lineRule="auto"/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ascii="宋体" w:hAnsi="宋体" w:eastAsia="宋体"/>
                <w:kern w:val="0"/>
                <w:sz w:val="24"/>
              </w:rPr>
              <w:t>7.4有效度</w:t>
            </w: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2.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……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restart"/>
            <w:noWrap w:val="0"/>
            <w:vAlign w:val="center"/>
          </w:tcPr>
          <w:p>
            <w:pPr>
              <w:widowControl/>
              <w:snapToGrid w:val="0"/>
              <w:spacing w:after="120" w:line="480" w:lineRule="auto"/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ascii="宋体" w:hAnsi="宋体" w:eastAsia="宋体"/>
                <w:kern w:val="0"/>
                <w:sz w:val="24"/>
              </w:rPr>
              <w:t>7.5满意度</w:t>
            </w: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2.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2885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……</w:t>
            </w:r>
          </w:p>
        </w:tc>
        <w:tc>
          <w:tcPr>
            <w:tcW w:w="3748" w:type="dxa"/>
            <w:noWrap w:val="0"/>
            <w:vAlign w:val="top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restar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其他</w:t>
            </w:r>
          </w:p>
        </w:tc>
        <w:tc>
          <w:tcPr>
            <w:tcW w:w="4728" w:type="dxa"/>
            <w:gridSpan w:val="2"/>
            <w:noWrap w:val="0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1.</w:t>
            </w:r>
          </w:p>
        </w:tc>
        <w:tc>
          <w:tcPr>
            <w:tcW w:w="3748" w:type="dxa"/>
            <w:noWrap w:val="0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4728" w:type="dxa"/>
            <w:gridSpan w:val="2"/>
            <w:noWrap w:val="0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2.</w:t>
            </w:r>
          </w:p>
        </w:tc>
        <w:tc>
          <w:tcPr>
            <w:tcW w:w="3748" w:type="dxa"/>
            <w:noWrap w:val="0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56" w:type="dxa"/>
            <w:vMerge w:val="continue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  <w:tc>
          <w:tcPr>
            <w:tcW w:w="4728" w:type="dxa"/>
            <w:gridSpan w:val="2"/>
            <w:noWrap w:val="0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……</w:t>
            </w:r>
          </w:p>
        </w:tc>
        <w:tc>
          <w:tcPr>
            <w:tcW w:w="3748" w:type="dxa"/>
            <w:noWrap w:val="0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</w:tbl>
    <w:p/>
    <w:sectPr>
      <w:pgSz w:w="11906" w:h="16838"/>
      <w:pgMar w:top="1417" w:right="1440" w:bottom="141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8FF00A7-8376-40E7-A2B7-8DA4A76E8C1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C30D8405-5444-4175-8B4E-279DD75A065D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6B711E68-4F2A-45DD-BC68-6F20D30D469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50019A25-4387-48B2-9C3E-4C3EC016A4D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1MzZiMzU0YmZkOGMzZWNlNTYwNzMzYmRjZDE1ZjEifQ=="/>
  </w:docVars>
  <w:rsids>
    <w:rsidRoot w:val="7CF20027"/>
    <w:rsid w:val="286E0D12"/>
    <w:rsid w:val="33DB2AA3"/>
    <w:rsid w:val="595130DD"/>
    <w:rsid w:val="5FBF6E33"/>
    <w:rsid w:val="6BD04C6F"/>
    <w:rsid w:val="7CF2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unhideWhenUsed/>
    <w:qFormat/>
    <w:uiPriority w:val="99"/>
    <w:pPr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character" w:styleId="5">
    <w:name w:val="footnote reference"/>
    <w:basedOn w:val="4"/>
    <w:unhideWhenUsed/>
    <w:qFormat/>
    <w:uiPriority w:val="99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2024-03-18T02:43:00Z</dcterms:created>
  <dc:creator>Administrator</dc:creator>
  <cp:lastModifiedBy>夏小七</cp:lastModifiedBy>
  <dcterms:modified xsi:type="dcterms:W3CDTF">2024-03-18T08:32:31Z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3CDADD5A08F041CDAA09BBDBA05F4A64_11</vt:lpwstr>
  </property>
</Properties>
</file>