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spacing w:val="-2"/>
        </w:rPr>
      </w:pPr>
      <w:r>
        <w:rPr>
          <w:rFonts w:hint="eastAsia"/>
          <w:spacing w:val="-2"/>
        </w:rPr>
        <w:t>附件：</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spacing w:val="-2"/>
          <w:sz w:val="44"/>
          <w:szCs w:val="44"/>
        </w:rPr>
      </w:pPr>
      <w:bookmarkStart w:id="0" w:name="_GoBack"/>
      <w:r>
        <w:rPr>
          <w:rFonts w:hint="eastAsia" w:ascii="宋体" w:hAnsi="宋体" w:eastAsia="宋体" w:cs="宋体"/>
          <w:b/>
          <w:bCs/>
          <w:spacing w:val="-2"/>
          <w:sz w:val="44"/>
          <w:szCs w:val="44"/>
        </w:rPr>
        <w:t xml:space="preserve">南京体育学院 </w:t>
      </w:r>
      <w:r>
        <w:rPr>
          <w:rFonts w:hint="eastAsia" w:ascii="Times New Roman" w:hAnsi="Times New Roman" w:eastAsia="宋体" w:cs="宋体"/>
          <w:b/>
          <w:bCs/>
          <w:spacing w:val="-2"/>
          <w:sz w:val="44"/>
          <w:szCs w:val="44"/>
        </w:rPr>
        <w:t xml:space="preserve">2023 </w:t>
      </w:r>
      <w:r>
        <w:rPr>
          <w:rFonts w:hint="eastAsia" w:ascii="宋体" w:hAnsi="宋体" w:eastAsia="宋体" w:cs="宋体"/>
          <w:b/>
          <w:bCs/>
          <w:spacing w:val="-2"/>
          <w:sz w:val="44"/>
          <w:szCs w:val="44"/>
        </w:rPr>
        <w:t>届优秀本科毕业</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仿宋" w:hAnsi="仿宋" w:eastAsia="仿宋" w:cs="仿宋"/>
          <w:b/>
          <w:bCs/>
          <w:spacing w:val="-2"/>
          <w:sz w:val="32"/>
          <w:szCs w:val="32"/>
        </w:rPr>
      </w:pPr>
      <w:r>
        <w:rPr>
          <w:rFonts w:hint="eastAsia" w:ascii="宋体" w:hAnsi="宋体" w:eastAsia="宋体" w:cs="宋体"/>
          <w:b/>
          <w:bCs/>
          <w:spacing w:val="-2"/>
          <w:sz w:val="44"/>
          <w:szCs w:val="44"/>
        </w:rPr>
        <w:t>论文名单</w:t>
      </w:r>
    </w:p>
    <w:bookmarkEnd w:id="0"/>
    <w:tbl>
      <w:tblPr>
        <w:tblStyle w:val="3"/>
        <w:tblW w:w="8409" w:type="dxa"/>
        <w:tblInd w:w="113" w:type="dxa"/>
        <w:tblLayout w:type="fixed"/>
        <w:tblCellMar>
          <w:top w:w="0" w:type="dxa"/>
          <w:left w:w="108" w:type="dxa"/>
          <w:bottom w:w="0" w:type="dxa"/>
          <w:right w:w="108" w:type="dxa"/>
        </w:tblCellMar>
      </w:tblPr>
      <w:tblGrid>
        <w:gridCol w:w="694"/>
        <w:gridCol w:w="1144"/>
        <w:gridCol w:w="851"/>
        <w:gridCol w:w="1856"/>
        <w:gridCol w:w="962"/>
        <w:gridCol w:w="1702"/>
        <w:gridCol w:w="1200"/>
      </w:tblGrid>
      <w:tr>
        <w:tblPrEx>
          <w:tblCellMar>
            <w:top w:w="0" w:type="dxa"/>
            <w:left w:w="108" w:type="dxa"/>
            <w:bottom w:w="0" w:type="dxa"/>
            <w:right w:w="108" w:type="dxa"/>
          </w:tblCellMar>
        </w:tblPrEx>
        <w:trPr>
          <w:trHeight w:val="628" w:hRule="atLeast"/>
        </w:trPr>
        <w:tc>
          <w:tcPr>
            <w:tcW w:w="69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4"/>
              </w:rPr>
            </w:pPr>
            <w:r>
              <w:rPr>
                <w:rFonts w:hint="eastAsia" w:ascii="Times New Roman" w:hAnsi="Times New Roman" w:eastAsia="仿宋" w:cs="仿宋"/>
                <w:b/>
                <w:bCs/>
                <w:kern w:val="0"/>
                <w:sz w:val="24"/>
              </w:rPr>
              <w:t>序号</w:t>
            </w:r>
          </w:p>
        </w:tc>
        <w:tc>
          <w:tcPr>
            <w:tcW w:w="11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4"/>
              </w:rPr>
            </w:pPr>
            <w:r>
              <w:rPr>
                <w:rFonts w:hint="eastAsia" w:ascii="Times New Roman" w:hAnsi="Times New Roman" w:eastAsia="仿宋" w:cs="仿宋"/>
                <w:b/>
                <w:bCs/>
                <w:kern w:val="0"/>
                <w:sz w:val="24"/>
              </w:rPr>
              <w:t>学号</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4"/>
              </w:rPr>
            </w:pPr>
            <w:r>
              <w:rPr>
                <w:rFonts w:hint="eastAsia" w:ascii="Times New Roman" w:hAnsi="Times New Roman" w:eastAsia="仿宋" w:cs="仿宋"/>
                <w:b/>
                <w:bCs/>
                <w:kern w:val="0"/>
                <w:sz w:val="24"/>
              </w:rPr>
              <w:t>姓名</w:t>
            </w:r>
          </w:p>
        </w:tc>
        <w:tc>
          <w:tcPr>
            <w:tcW w:w="18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4"/>
              </w:rPr>
            </w:pPr>
            <w:r>
              <w:rPr>
                <w:rFonts w:hint="eastAsia" w:ascii="Times New Roman" w:hAnsi="Times New Roman" w:eastAsia="仿宋" w:cs="仿宋"/>
                <w:b/>
                <w:bCs/>
                <w:kern w:val="0"/>
                <w:sz w:val="24"/>
              </w:rPr>
              <w:t>毕业论文题目</w:t>
            </w:r>
          </w:p>
        </w:tc>
        <w:tc>
          <w:tcPr>
            <w:tcW w:w="96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4"/>
              </w:rPr>
            </w:pPr>
            <w:r>
              <w:rPr>
                <w:rFonts w:hint="eastAsia" w:ascii="Times New Roman" w:hAnsi="Times New Roman" w:eastAsia="仿宋" w:cs="仿宋"/>
                <w:b/>
                <w:bCs/>
                <w:kern w:val="0"/>
                <w:sz w:val="24"/>
              </w:rPr>
              <w:t>指导</w:t>
            </w:r>
          </w:p>
          <w:p>
            <w:pPr>
              <w:widowControl/>
              <w:jc w:val="center"/>
              <w:rPr>
                <w:rFonts w:hint="eastAsia" w:ascii="Times New Roman" w:hAnsi="Times New Roman" w:eastAsia="仿宋" w:cs="仿宋"/>
                <w:b/>
                <w:bCs/>
                <w:kern w:val="0"/>
                <w:sz w:val="24"/>
              </w:rPr>
            </w:pPr>
            <w:r>
              <w:rPr>
                <w:rFonts w:hint="eastAsia" w:ascii="Times New Roman" w:hAnsi="Times New Roman" w:eastAsia="仿宋" w:cs="仿宋"/>
                <w:b/>
                <w:bCs/>
                <w:kern w:val="0"/>
                <w:sz w:val="24"/>
              </w:rPr>
              <w:t>老师</w:t>
            </w:r>
          </w:p>
        </w:tc>
        <w:tc>
          <w:tcPr>
            <w:tcW w:w="17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4"/>
              </w:rPr>
            </w:pPr>
            <w:r>
              <w:rPr>
                <w:rFonts w:hint="eastAsia" w:ascii="Times New Roman" w:hAnsi="Times New Roman" w:eastAsia="仿宋" w:cs="仿宋"/>
                <w:b/>
                <w:bCs/>
                <w:kern w:val="0"/>
                <w:sz w:val="24"/>
              </w:rPr>
              <w:t>学院</w:t>
            </w:r>
          </w:p>
        </w:tc>
        <w:tc>
          <w:tcPr>
            <w:tcW w:w="120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4"/>
              </w:rPr>
            </w:pPr>
            <w:r>
              <w:rPr>
                <w:rFonts w:hint="eastAsia" w:ascii="Times New Roman" w:hAnsi="Times New Roman" w:eastAsia="仿宋" w:cs="仿宋"/>
                <w:b/>
                <w:bCs/>
                <w:kern w:val="0"/>
                <w:sz w:val="24"/>
              </w:rPr>
              <w:t>类型</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1194209</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夏宇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里约奥运会中外女排技术特点的对比研究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李晓琨</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1194302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池佳佳</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南师大附中树人学校花样跳绳校本课程的开发与实施研究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周亚婷</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1194118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朱伟</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南京体育学院体育教育专业基本功大赛开展现状与优化策略</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刘红建</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1194311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李辛</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不同频率追加反馈对飞盘灵敏性训练效果的影响</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叶强</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1194324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马天乐</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“新课标”背景下小学课余篮球开展现状与优化策略</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彭国强</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1194135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李广耀</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南京市摄山中学落实《体育与健康课程标准（2022年版）》的现状与对策研究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周亚婷</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1194119</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李明</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双减政策下秦皇岛青龙县小学课后社团开展现状调查与分析——以肖营子中心小学为例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董鹏</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1194201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闫心茹</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新课标背景下体育教育专业职前教师课堂教学实施情况分析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朱乔</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1194204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毕宗怡</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南京市玄武区飞盘运动开展状况调查研究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霍军</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1194335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胡臻</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悬挂球辅助训练法在盐城景山中学羽毛球高远球教学中的效果研究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陈秋惠</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1194230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虞成洋</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“双减”政策背景下中学体育社团开展现状与对策研究——以南师附中树人学校为例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侍崇艳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1174211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胡降龙</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新课标下南京市玄武区初中体育教师课程执行力调查研究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许婕</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13</w:t>
            </w:r>
          </w:p>
        </w:tc>
        <w:tc>
          <w:tcPr>
            <w:tcW w:w="1144"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7194225</w:t>
            </w:r>
          </w:p>
        </w:tc>
        <w:tc>
          <w:tcPr>
            <w:tcW w:w="85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郭天奇</w:t>
            </w:r>
          </w:p>
        </w:tc>
        <w:tc>
          <w:tcPr>
            <w:tcW w:w="1856"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融媒体环境下电视体育专题节目的发展对策研究</w:t>
            </w:r>
          </w:p>
        </w:tc>
        <w:tc>
          <w:tcPr>
            <w:tcW w:w="96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蔡明明</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14</w:t>
            </w:r>
          </w:p>
        </w:tc>
        <w:tc>
          <w:tcPr>
            <w:tcW w:w="1144"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7194239</w:t>
            </w:r>
          </w:p>
        </w:tc>
        <w:tc>
          <w:tcPr>
            <w:tcW w:w="85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高强</w:t>
            </w:r>
          </w:p>
        </w:tc>
        <w:tc>
          <w:tcPr>
            <w:tcW w:w="1856"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“转载”与“整合”：微信公众号内容生产透视——以共青团中央为例</w:t>
            </w:r>
          </w:p>
        </w:tc>
        <w:tc>
          <w:tcPr>
            <w:tcW w:w="96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邹欣</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15</w:t>
            </w:r>
          </w:p>
        </w:tc>
        <w:tc>
          <w:tcPr>
            <w:tcW w:w="1144"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7194212</w:t>
            </w:r>
          </w:p>
        </w:tc>
        <w:tc>
          <w:tcPr>
            <w:tcW w:w="85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宋欣雨</w:t>
            </w:r>
          </w:p>
        </w:tc>
        <w:tc>
          <w:tcPr>
            <w:tcW w:w="1856"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网络舆论场中新闻评论引导力提升的创新研究——以B站“观察者网”为例</w:t>
            </w:r>
          </w:p>
        </w:tc>
        <w:tc>
          <w:tcPr>
            <w:tcW w:w="96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李劭强</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16</w:t>
            </w:r>
          </w:p>
        </w:tc>
        <w:tc>
          <w:tcPr>
            <w:tcW w:w="1144"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7194133</w:t>
            </w:r>
          </w:p>
        </w:tc>
        <w:tc>
          <w:tcPr>
            <w:tcW w:w="85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王奕凯</w:t>
            </w:r>
          </w:p>
        </w:tc>
        <w:tc>
          <w:tcPr>
            <w:tcW w:w="1856"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体育“饭圈化”现象的反思与治理——以“全红婵”事件为例</w:t>
            </w:r>
          </w:p>
        </w:tc>
        <w:tc>
          <w:tcPr>
            <w:tcW w:w="96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褚国香</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17</w:t>
            </w:r>
          </w:p>
        </w:tc>
        <w:tc>
          <w:tcPr>
            <w:tcW w:w="1144"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7194110</w:t>
            </w:r>
          </w:p>
        </w:tc>
        <w:tc>
          <w:tcPr>
            <w:tcW w:w="85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黄千鸣</w:t>
            </w:r>
          </w:p>
        </w:tc>
        <w:tc>
          <w:tcPr>
            <w:tcW w:w="1856"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新冠疫情数据新闻可视化报道研究——以界面新闻“数据线”和澎湃“美数课”栏目为例</w:t>
            </w:r>
          </w:p>
        </w:tc>
        <w:tc>
          <w:tcPr>
            <w:tcW w:w="96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陈俊</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481"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18</w:t>
            </w:r>
          </w:p>
        </w:tc>
        <w:tc>
          <w:tcPr>
            <w:tcW w:w="1144"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7194228</w:t>
            </w:r>
          </w:p>
        </w:tc>
        <w:tc>
          <w:tcPr>
            <w:tcW w:w="851"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冯微</w:t>
            </w:r>
          </w:p>
        </w:tc>
        <w:tc>
          <w:tcPr>
            <w:tcW w:w="1856"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新媒介技术背景下“云端演唱会”的传播互动模式探究——以周杰伦“奇迹现场重映计划”线上演唱会为例</w:t>
            </w:r>
          </w:p>
        </w:tc>
        <w:tc>
          <w:tcPr>
            <w:tcW w:w="96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查禹</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7194126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钱沈韵秋</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乡村振兴背景下“三农”短视频人物形象构建策略研究 ——以“帅农鸟哥”为例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苏蔚平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7194233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虞杭青</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迷因理论视域下“MBTI性格测试”的网络传播研究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李冉冉</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4194110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夏秋</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运动联合二甲双胍对糖尿病小鼠下丘脑kisspeptin系统的影响</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徐瑞</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4194102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胡慧</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不同肥胖程度对大鼠睾丸自噬水平影响的研究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徐瑞</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4194101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杜晴丽</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低强度加压抗阻训练对T2DM大鼠骨形成代谢及骨密度的影响</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赵彦</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4194104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沈婉纾</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有氧运动对糖尿病db/db小鼠心肌选择性自噬的影响</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陆矫</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4194115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张婷</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运动干预对肥胖人群的糖脂代谢影响的Meta分析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邢静</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9194103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任予文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高氧干预对青年男性高强度间歇运动后疲劳恢复及运动表现的影响研究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罗维</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9194142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陈楠</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CrossFit训练模式对消防员体能训练的研究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孙强</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9194133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程燕翔</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背外侧前额叶高精度经颅直流电刺激对大学生心率变异性影响的研究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顾忠科</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29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9194106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魏心怡</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英国青年足球运动员体能测试方法及运用研究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赵彦</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15194218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郑艳</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任务导向性训练对脑卒中后偏瘫患者上肢运动功能及ADL能力影响的个案研究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侍述璟</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15194114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王珩</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肺康复治疗对ICU呼吸衰竭患者心肺功能影响的个案研究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侍述璟</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15194225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陈博</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低频脉冲神经肌肉电刺激联合吞咽手法训练对脑卒中患者吞咽障碍治疗的个案报告</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刘琳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15194206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黄静</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运动疗法对主动脉夹层术后脊髓损伤患者康复效果的个案报告</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刘琳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15194221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刘世轩</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交感神经阻断对肌筋膜触发点自发性放电的影响</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刘琳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8194128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孙贝宁</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第32届东京奥运会艺术体操集体项目决赛前八名五球协作难度动作研究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杜家俊</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8194124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王紫琪</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2022北京冬奥会开幕式“中国行进式广场舞”形式与内涵研究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吴平平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8194112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吴雨卿</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刘畊宏健身操短视频《本草纲目》“脚本与即兴”分析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江山</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8194123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王婉潞</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集体街舞啦啦操成套队形编排对比分析——以2022年世界啦啦操锦标赛集体街舞前八名为例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吴平平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39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8194135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穆杨俊</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双减政策下南京市江宁区武术培训俱乐部现状与发展策略</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余霞</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18194226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熊雨晨</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蒙太奇手法在舞剧《记忆深处》中的运用研究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吴平平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18194231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程嘉琪</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2019年英国黑池舞蹈节摩登队列舞冠军作品《士》队形特征分析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苏梦</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18194115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汤玉琦</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体育舞蹈艺术表演舞作品《士》的创作价值分析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吴文君</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18194117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陆思辰</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全民健身背景下“云健身”方式的热分析与冷思考</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赵雷</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18194128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徐昕柔</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全国性比赛中少儿体育舞蹈（12岁业余组）选手赛前焦虑特征研究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吴平平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5194108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吴雨阳</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孔洪星侧踹腿技术运用分析——以第十四届全运会散打比赛为例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刘靖</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5194107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孙绍东</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安徽省第十五届省运动会散打比赛技术分析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孙永武</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3194137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王鑫</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南京体育学院酷攀户外运动社团发展路径研究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孙艳芳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3194105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王佳慧</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南京市仙林湖社区体育发展现状调查</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胡娟</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49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3194135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曹雪原</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我国体育院校优秀运动员人才培养体系建议</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王龙飞</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3194105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闻争光</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2022年上海壁球公开赛男子A组短球技术竞赛分析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朱瑞</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10194203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丁喆晶</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休闲体育应用型人才素质的评价指标体系研究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丁云霞</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10194208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陆子倩</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城市更新视角下扬州市体育公园建设经验及其启示研究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叶小瑜</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10194211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沈梦含</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常州市体育公园全民健身与生态体育融合发展研究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叶小瑜</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10194201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黄子依</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戴家社区体育公共服务设施配置以及居民使用状况调查分析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董艳梅</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10194207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孙艳迎</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阜宁市崔湾社区体育设施发展现状调查</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胡娟</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10194205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金红莲</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盐城市恒北社区体育发展现状调查</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胡娟</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10194204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曹玥</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体育＋旅游视角下南京市水墨大埝户外运动项目发展现状研究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孙艳芳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10194232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秦傲</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南京市栖霞区仙林大学城大学生体育消费行为调查研究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唐佳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59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6194212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戴成玲</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基于平衡计分卡理论的山野时光露营地经营状况分析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陈建兵</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6194107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秦若男</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农村公共体育服务供给的研究—基于江阴花果村村民健身态度和行为分析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吴泓</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6194118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徐诺渲</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旅游监管制度对体育赛事监管的启示</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兰亚明</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6194213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李心仪</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扬州大型体育公园儿童活动场地使用情况调查与分析——以扬州李宁体育公园为例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郑美艳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6194115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杨欣怡</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食品监管经验对体育赛事监管的启示研究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兰亚明</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6194217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薛心宇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常州市五星街道智慧社区体育公共服务实践研究与优化路径</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余霞</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6194211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晏子一</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健康老龄化背景下溧水体育公园全民健身设施适老化改造现状调查及优化对策研究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叶小瑜</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6194109</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田宇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基于居民期望的徐州泉山区社区运动会组织与运营研究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吴泓</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2194517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徐璐阳</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体适能训练对初三学生体育中考成绩的影响研究——以扬州树人中学为例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温阳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2194444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谢洪胜</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课程思政背景下体育院校田径课程建设研究——以南京体育学院为例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龙文蓉</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69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2194616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黄华龙</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新课标视域下小学生足球教学的设计与效果分析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胡鑫</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2194524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于海平</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佩剑项目训练负荷类型及其监控方法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胡海旭</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2194413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孙璐璐</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高水平男子三级跳远运动员三跳比例特征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王国杰</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2194336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仇智</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软梯训练对初中女篮运动员灵敏素质的影响研究-以盐城市毓龙路实验学校女篮为例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张明</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2194215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宋田田</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江苏女子橄榄球队与前四强队伍tackle技术运用分析——以十四届全运会为例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赵西堂</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2194501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孙沁钰</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女子花剑运动员石玥进攻技战术特点的研究——以第十四届全运会个人赛为例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杜韫洁</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2194201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赵一铭</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第十四届全运会七人制橄榄球江苏女队得分特征分析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张杰</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2194421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樊一鸣</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淮安市中学生体育学习动机的现状调查与对策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陆锦华</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2194713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卢昌宁</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里奥·梅西运球突破技术运用的分析-以2021-2022赛季法甲联赛为例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余方亮</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2194417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张杰</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快速伸缩复合训练对中学训练队下肢爆发力的影响研究——以连云港市海滨中学为例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谢恩礼</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79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2194403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陈伟杰</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躯干支柱力量训练对南京十二中田径队400米运动员成绩的影响研究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王国杰</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2194120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葛悦淇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对我国优秀羽毛球女子单打运动员陈雨菲的技战术分析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尤铭</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2194534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冯正瑶</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2021东京奥运会男子柔道66公斤级前三名运动员技术运用分析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王豫宁</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2174524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刘圣杰</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快速伸缩复合训练对陆军侦察兵400米障碍成绩影响的研究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张杰</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2194538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陶固生</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南京技师学院学生课外体育活动开展现状分析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孙尊航</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2194725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陈龙</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2022年卡特尔世界杯阿根廷队边路进攻技战术分析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张晓红</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2194624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孙雯</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2022年卡塔尔世界杯八强守门员进攻技战术分析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魏亮</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2194233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臧仕喆</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巴西男排主攻手进攻战术分析与研究--以东京奥运会为例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姜倩雯</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2194116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邹振宇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对中国选手樊振东技战术分析——以2022WTT新加坡大满贯赛为例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王寅周</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2194132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潘哈顿</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费德勒与纳达尔交手发球技战术特征分析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矫莉华</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89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2194391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郝婷</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rPr>
              <w:fldChar w:fldCharType="begin"/>
            </w:r>
            <w:r>
              <w:rPr>
                <w:rFonts w:hint="eastAsia" w:ascii="Times New Roman" w:hAnsi="Times New Roman" w:eastAsia="仿宋" w:cs="仿宋"/>
              </w:rPr>
              <w:instrText xml:space="preserve"> HYPERLINK "http://lwgl.nsi.edu.cn/Admin/ViewReport.aspx?No=988" \o "艺术体操集体项目中协作类难度分析—以第39届艺术体操世锦赛集体前八名为例" </w:instrText>
            </w:r>
            <w:r>
              <w:rPr>
                <w:rFonts w:hint="eastAsia" w:ascii="Times New Roman" w:hAnsi="Times New Roman" w:eastAsia="仿宋" w:cs="仿宋"/>
              </w:rPr>
              <w:fldChar w:fldCharType="separate"/>
            </w:r>
            <w:r>
              <w:rPr>
                <w:rFonts w:hint="eastAsia" w:ascii="Times New Roman" w:hAnsi="Times New Roman" w:eastAsia="仿宋" w:cs="仿宋"/>
              </w:rPr>
              <w:t>艺术体操集体项目中协作类难度分析—以第39届艺术体操世锦赛集体前八名为例</w:t>
            </w:r>
            <w:r>
              <w:rPr>
                <w:rFonts w:hint="eastAsia" w:ascii="Times New Roman" w:hAnsi="Times New Roman" w:eastAsia="仿宋" w:cs="仿宋"/>
              </w:rPr>
              <w:fldChar w:fldCharType="end"/>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王维肖</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运动员教育教学管理部</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2194301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糜宇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rPr>
              <w:fldChar w:fldCharType="begin"/>
            </w:r>
            <w:r>
              <w:rPr>
                <w:rFonts w:hint="eastAsia" w:ascii="Times New Roman" w:hAnsi="Times New Roman" w:eastAsia="仿宋" w:cs="仿宋"/>
              </w:rPr>
              <w:instrText xml:space="preserve"> HYPERLINK "http://lwgl.nsi.edu.cn/Admin/ViewReport.aspx?No=992" \o "2022年全国棒球锦标赛江苏队进攻技战术运用分析" </w:instrText>
            </w:r>
            <w:r>
              <w:rPr>
                <w:rFonts w:hint="eastAsia" w:ascii="Times New Roman" w:hAnsi="Times New Roman" w:eastAsia="仿宋" w:cs="仿宋"/>
              </w:rPr>
              <w:fldChar w:fldCharType="separate"/>
            </w:r>
            <w:r>
              <w:rPr>
                <w:rFonts w:hint="eastAsia" w:ascii="Times New Roman" w:hAnsi="Times New Roman" w:eastAsia="仿宋" w:cs="仿宋"/>
              </w:rPr>
              <w:t>2022年全国棒球锦标赛江苏队进攻技战术运用分析</w:t>
            </w:r>
            <w:r>
              <w:rPr>
                <w:rFonts w:hint="eastAsia" w:ascii="Times New Roman" w:hAnsi="Times New Roman" w:eastAsia="仿宋" w:cs="仿宋"/>
              </w:rPr>
              <w:fldChar w:fldCharType="end"/>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刘峰</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运动员教育教学管理部</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2194308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高星月</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rPr>
              <w:fldChar w:fldCharType="begin"/>
            </w:r>
            <w:r>
              <w:rPr>
                <w:rFonts w:hint="eastAsia" w:ascii="Times New Roman" w:hAnsi="Times New Roman" w:eastAsia="仿宋" w:cs="仿宋"/>
              </w:rPr>
              <w:instrText xml:space="preserve"> HYPERLINK "http://lwgl.nsi.edu.cn/Admin/ViewReport.aspx?No=933" \o "南京市大众蹦床推广现状与影响因素分析" </w:instrText>
            </w:r>
            <w:r>
              <w:rPr>
                <w:rFonts w:hint="eastAsia" w:ascii="Times New Roman" w:hAnsi="Times New Roman" w:eastAsia="仿宋" w:cs="仿宋"/>
              </w:rPr>
              <w:fldChar w:fldCharType="separate"/>
            </w:r>
            <w:r>
              <w:rPr>
                <w:rFonts w:hint="eastAsia" w:ascii="Times New Roman" w:hAnsi="Times New Roman" w:eastAsia="仿宋" w:cs="仿宋"/>
              </w:rPr>
              <w:t>南京市大众蹦床推广现状与影响因素分析</w:t>
            </w:r>
            <w:r>
              <w:rPr>
                <w:rFonts w:hint="eastAsia" w:ascii="Times New Roman" w:hAnsi="Times New Roman" w:eastAsia="仿宋" w:cs="仿宋"/>
              </w:rPr>
              <w:fldChar w:fldCharType="end"/>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李金宝</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运动员教育教学管理部</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2194366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沈大宇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rPr>
              <w:fldChar w:fldCharType="begin"/>
            </w:r>
            <w:r>
              <w:rPr>
                <w:rFonts w:hint="eastAsia" w:ascii="Times New Roman" w:hAnsi="Times New Roman" w:eastAsia="仿宋" w:cs="仿宋"/>
              </w:rPr>
              <w:instrText xml:space="preserve"> HYPERLINK "http://lwgl.nsi.edu.cn/Admin/ViewReport.aspx?No=1040" \o "江苏省赛艇运动后备人才培养现状及对策研究" </w:instrText>
            </w:r>
            <w:r>
              <w:rPr>
                <w:rFonts w:hint="eastAsia" w:ascii="Times New Roman" w:hAnsi="Times New Roman" w:eastAsia="仿宋" w:cs="仿宋"/>
              </w:rPr>
              <w:fldChar w:fldCharType="separate"/>
            </w:r>
            <w:r>
              <w:rPr>
                <w:rFonts w:hint="eastAsia" w:ascii="Times New Roman" w:hAnsi="Times New Roman" w:eastAsia="仿宋" w:cs="仿宋"/>
              </w:rPr>
              <w:t>江苏省赛艇运动后备人才培养现状及对策研究</w:t>
            </w:r>
            <w:r>
              <w:rPr>
                <w:rFonts w:hint="eastAsia" w:ascii="Times New Roman" w:hAnsi="Times New Roman" w:eastAsia="仿宋" w:cs="仿宋"/>
              </w:rPr>
              <w:fldChar w:fldCharType="end"/>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蒋艳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运动员教育教学管理部</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6194301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陈佳颖</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宝应县斯迈健身俱乐部经营管理情况研究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陈晓艳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6194401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常可欣</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全民健身视角下南京市浦口区广场舞开展现状分析</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陈晓艳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6194312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陆丽霞</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西蒙电气（中国）有限公司职工体育开展现状与对策研究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马桂荣</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6194414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沈安妮</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淮安市大学生体育消费现状研究—以淮阴师范学院为例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马桂荣</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6194408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方琳</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苏州市吴中区居民体育消费现状研究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段明会</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6194321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徐凡</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盐城市大丰区奥体中心体育场馆运营现状及发展对策研究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王云</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99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6194322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张颖</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南京市板桥小学体育社团活动开展现状研究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杨海艳</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7194410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李晨熙</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喜剧竞演类综艺节目《一年一度喜剧大赛》的创新探索</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张萌萌</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7194327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姚远</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探究“真人秀+纪录片”深度融合的创作模式——以《奇遇人生》为例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孙琛</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7194328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余国香</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旅游类短视频的传播策略研究——以抖音用户“房琪kiki”为例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汤文慧</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7194442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张家川</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《人生一串》和《主厨的餐桌》的叙事对比研究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巫菁</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16194109</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李世瑜</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C-E Translation of Four-character Structure in External Publicity Texts under Functional Equivalence Theory  </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 xml:space="preserve">-- A Case Study of Chinese Government Work Report of 2022  </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 xml:space="preserve">功能对等理论下外宣文本中的四字格翻译  </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——以《2022年政府工作报告》为例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李征</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16194105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郭慧子</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An Analysis of Female Growth and Self-pursuit in The House on Mango Street</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探析《芒果街上的小屋》中</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女性成长与自我追求</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周元</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16194124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许莉</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Contrast Study on Chinese and American Family Education from Cultural Dimensions Theory</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--A Case Study of Fresh Off the Boat</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文化维度下中美家庭教育差异研究</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----以美剧《初来乍到》为例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刘晓明</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16194138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沈丹浩</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An Analysis of Metaphorical Rhetoric in English Sports News Reports – A Case Study of the 2022 NBA Finals</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英语体育新闻报道中隐喻修辞的分析——</w:t>
            </w:r>
            <w:r>
              <w:rPr>
                <w:rFonts w:hint="eastAsia" w:ascii="Times New Roman" w:hAnsi="Times New Roman" w:eastAsia="仿宋" w:cs="仿宋"/>
                <w:kern w:val="0"/>
                <w:sz w:val="20"/>
                <w:szCs w:val="20"/>
              </w:rPr>
              <w:br w:type="textWrapping"/>
            </w:r>
            <w:r>
              <w:rPr>
                <w:rFonts w:hint="eastAsia" w:ascii="Times New Roman" w:hAnsi="Times New Roman" w:eastAsia="仿宋" w:cs="仿宋"/>
                <w:kern w:val="0"/>
                <w:sz w:val="20"/>
                <w:szCs w:val="20"/>
              </w:rPr>
              <w:t>以2022年NBA决赛报道为例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季雨辰</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17174137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咸钢</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浅谈《山海经》中的神兽元素在机械战士游戏角色设计中的运用——以《山海号系列战士》为例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李新蕊</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109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17194105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丁琳</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波普风格在“POP大作战”游戏场景设计中的应用</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王琼</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17194215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谢洁</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浅析环县皮影元素在二维动画中的运用</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杨玮亚</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17194301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毕秋云</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湘西苗绣图案在手机主题设计中的应用</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谢彬彬</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17194303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葛歆瑜</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浅谈动画角色表情设计在剧情传达中的作用</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陈靓</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17194310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王佳彦</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论民国视觉元素在主题界面中的应用和呈现——以“时光剪影”为例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赵倩</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17194422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陈兴宇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浅析角色动态设计与画面构成相结合</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陈靓</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9194201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白家蓉</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   推拿配合腰背部肌肉锻炼对治疗节段L5-S1腰椎间盘突出症效果的研究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李隽彦</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9194226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乔子玥</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PNF结合电针疗法对脑梗死患者下肢运动功能恢复的研究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盛卓娴</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9194315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徐浈</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针灸联合神经肌肉电刺激对偏瘫患者下肢运动功能的疗效研究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黄婷婷</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9194318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杨婕</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上肢康复机器人联合手功能训练对脑卒中上肢功能疗效影响的研究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张曦元</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119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9194320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尹文清</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冰柠檬酸刺激联合摄食训练对脑卒中吞咽障碍患者疗效的研究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孙蕃</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9194326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宋天瑜</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关节松动术联合本体感觉训练对踝关节扭伤的疗效研究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盛卓娴</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9194334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叶加星</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肌肉能量技术联合体外冲击波对腓肠肌Ⅱ度损伤的疗效研究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毛彩凤</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8194306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何星</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浅谈潜台词在戏剧表演中对塑造角色的作用</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张誉允</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8194336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杨威</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 xml:space="preserve">浅谈形体语言在话剧《摇曳的秋千》中的应用及分析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刘雪梅</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8194339</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杨胜</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浅谈表演艺术中的情绪冲动与控制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姜殊祯</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8194303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龚雨婷</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“情绪记忆”在表演创作中的作用</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高宇</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8194325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马永康</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论停顿在话剧人物台词中的重要性——以《摇曳的秋千》为例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常亮</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3194506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李佳昕</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扬州汶河小学学生基本运动技能测评的实证研究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周宾宇</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4194232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张思婷</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电针疗法联合补阳还五汤对气虚血瘀型脑梗死患者后遗症期的疗效观察</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张美玲</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129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4194238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朱欣怡</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大学生运动动机对锻炼行为的相关性研究——以篮球运动为例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张曦元</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130</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4194211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李静怡</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视动刺激联合针刺疗法对脑卒中后单侧忽略患者的疗效研究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孙蕃</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4"/>
              </w:rPr>
            </w:pPr>
            <w:r>
              <w:rPr>
                <w:rFonts w:hint="eastAsia" w:ascii="Times New Roman" w:hAnsi="Times New Roman" w:eastAsia="仿宋" w:cs="仿宋"/>
                <w:kern w:val="0"/>
                <w:sz w:val="24"/>
              </w:rPr>
              <w:t>131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4194203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费双</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核心力量训练对女大学生立定跳远能力的影响研究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毛彩凤</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bl>
    <w:p>
      <w:pPr>
        <w:ind w:firstLine="632" w:firstLineChars="200"/>
        <w:jc w:val="center"/>
        <w:rPr>
          <w:rFonts w:ascii="仿宋" w:hAnsi="仿宋" w:eastAsia="仿宋" w:cs="仿宋"/>
          <w:spacing w:val="-2"/>
          <w:sz w:val="32"/>
          <w:szCs w:val="32"/>
        </w:rPr>
      </w:pPr>
    </w:p>
    <w:p>
      <w:pPr>
        <w:pStyle w:val="2"/>
        <w:spacing w:before="214" w:line="364" w:lineRule="auto"/>
        <w:ind w:left="703" w:right="543" w:firstLine="4746" w:firstLineChars="1502"/>
        <w:rPr>
          <w:spacing w:val="-2"/>
        </w:rPr>
      </w:pPr>
    </w:p>
    <w:p>
      <w:pPr>
        <w:pStyle w:val="2"/>
        <w:spacing w:before="214" w:line="364" w:lineRule="auto"/>
        <w:ind w:left="703" w:right="543" w:firstLine="4746" w:firstLineChars="1502"/>
        <w:rPr>
          <w:spacing w:val="-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WQwOGE3NzA0ZTM3MmY2NGVmYjFiYjYyMzhiMjMifQ=="/>
  </w:docVars>
  <w:rsids>
    <w:rsidRoot w:val="698C6637"/>
    <w:rsid w:val="00017A99"/>
    <w:rsid w:val="00974385"/>
    <w:rsid w:val="00C65DB4"/>
    <w:rsid w:val="00DA22CB"/>
    <w:rsid w:val="019D5EC0"/>
    <w:rsid w:val="2A62230E"/>
    <w:rsid w:val="698C6637"/>
    <w:rsid w:val="6F773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sz w:val="32"/>
      <w:szCs w:val="32"/>
    </w:rPr>
  </w:style>
  <w:style w:type="character" w:styleId="5">
    <w:name w:val="Hyperlink"/>
    <w:basedOn w:val="4"/>
    <w:unhideWhenUsed/>
    <w:qFormat/>
    <w:uiPriority w:val="99"/>
    <w:rPr>
      <w:color w:val="0000FF"/>
      <w:u w:val="single"/>
    </w:rPr>
  </w:style>
  <w:style w:type="character" w:customStyle="1" w:styleId="6">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6044</Words>
  <Characters>7478</Characters>
  <Lines>64</Lines>
  <Paragraphs>18</Paragraphs>
  <TotalTime>6</TotalTime>
  <ScaleCrop>false</ScaleCrop>
  <LinksUpToDate>false</LinksUpToDate>
  <CharactersWithSpaces>7592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2023-06-01T06:43:00Z</dcterms:created>
  <dc:creator>Abigail</dc:creator>
  <cp:lastModifiedBy>Abigail</cp:lastModifiedBy>
  <dcterms:modified xsi:type="dcterms:W3CDTF">2023-06-05T09:35:39Z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EF515C57DE5E47C28E2250987B987304_13</vt:lpwstr>
  </property>
</Properties>
</file>